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u w:val="single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  <w:lang w:val="en-GB"/>
        </w:rPr>
        <w:t>CURRENT PRESSING ISSUES IN HUMAN RIGHTS</w:t>
      </w:r>
    </w:p>
    <w:p>
      <w:pPr>
        <w:rPr>
          <w:rFonts w:ascii="Times New Roman" w:hAnsi="Times New Roman" w:cs="Times New Roman"/>
          <w:b/>
          <w:u w:val="single"/>
          <w:lang w:val="en-GB"/>
        </w:rPr>
      </w:pPr>
    </w:p>
    <w:p>
      <w:pPr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The Right to Health</w:t>
      </w:r>
    </w:p>
    <w:p>
      <w:pPr>
        <w:rPr>
          <w:rFonts w:ascii="Times New Roman" w:hAnsi="Times New Roman" w:cs="Times New Roman"/>
          <w:b/>
          <w:u w:val="single"/>
          <w:lang w:val="en-GB"/>
        </w:rPr>
      </w:pPr>
    </w:p>
    <w:p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Readings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i/>
          <w:lang w:val="en-GB"/>
        </w:rPr>
        <w:t>D. v. the United Kingdom</w:t>
      </w:r>
      <w:r>
        <w:rPr>
          <w:rFonts w:ascii="Times New Roman" w:hAnsi="Times New Roman" w:cs="Times New Roman"/>
          <w:lang w:val="en-GB"/>
        </w:rPr>
        <w:t>, ECHR, Application no. 30240/96, 2 May1997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N. v. the United Kingdom</w:t>
      </w:r>
      <w:r>
        <w:rPr>
          <w:rFonts w:ascii="Times New Roman" w:hAnsi="Times New Roman" w:cs="Times New Roman"/>
          <w:lang w:val="en-GB"/>
        </w:rPr>
        <w:t>, ECHR, Application no. 26565/05, 27 May 2008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Jalloh v. Germany, </w:t>
      </w:r>
      <w:r>
        <w:rPr>
          <w:rFonts w:ascii="Times New Roman" w:hAnsi="Times New Roman" w:cs="Times New Roman"/>
          <w:lang w:val="en-GB"/>
        </w:rPr>
        <w:t>ECHR, Application no. 54810/00, 11 July 2006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Bogumil v. Portugal</w:t>
      </w:r>
      <w:r>
        <w:rPr>
          <w:rFonts w:ascii="Times New Roman" w:hAnsi="Times New Roman" w:cs="Times New Roman"/>
          <w:lang w:val="en-GB"/>
        </w:rPr>
        <w:t>, ECHR,  Application no. 35228/03, 7 October 2008</w:t>
      </w:r>
    </w:p>
    <w:p>
      <w:pPr>
        <w:pStyle w:val="5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Brigit Toebes, Mette Hartlev, Aart Hendriks and Janne Rothmar Herrmann (eds.), </w:t>
      </w:r>
      <w:r>
        <w:rPr>
          <w:rFonts w:ascii="Times New Roman" w:hAnsi="Times New Roman" w:cs="Times New Roman"/>
          <w:i/>
          <w:lang w:val="en-GB"/>
        </w:rPr>
        <w:t>Human Rights and Health in Europe</w:t>
      </w:r>
      <w:r>
        <w:rPr>
          <w:rFonts w:ascii="Times New Roman" w:hAnsi="Times New Roman" w:cs="Times New Roman"/>
          <w:lang w:val="en-GB"/>
        </w:rPr>
        <w:t>, Intersentia, p. 83-110.</w:t>
      </w:r>
    </w:p>
    <w:p>
      <w:pPr>
        <w:rPr>
          <w:rFonts w:ascii="Times New Roman" w:hAnsi="Times New Roman" w:cs="Times New Roman"/>
          <w:lang w:val="en-GB"/>
        </w:rPr>
      </w:pPr>
    </w:p>
    <w:p>
      <w:pPr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The Right to a Healthy Environment</w:t>
      </w:r>
    </w:p>
    <w:p>
      <w:pPr>
        <w:rPr>
          <w:rFonts w:ascii="Times New Roman" w:hAnsi="Times New Roman" w:cs="Times New Roman"/>
          <w:b/>
          <w:u w:val="single"/>
          <w:lang w:val="en-GB"/>
        </w:rPr>
      </w:pPr>
    </w:p>
    <w:p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Readings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López Ostra v. Spain</w:t>
      </w:r>
      <w:r>
        <w:rPr>
          <w:rFonts w:ascii="Times New Roman" w:hAnsi="Times New Roman" w:cs="Times New Roman"/>
          <w:lang w:val="en-GB"/>
        </w:rPr>
        <w:t>, ECHR, Application no. 16798/90, 9 December 1994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Guerra and others v. Italy</w:t>
      </w:r>
      <w:r>
        <w:rPr>
          <w:rFonts w:ascii="Times New Roman" w:hAnsi="Times New Roman" w:cs="Times New Roman"/>
          <w:lang w:val="en-GB"/>
        </w:rPr>
        <w:t>, ECHR, Application no. 14967/89, 19 February 1998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Oneryildiz v. Turkey</w:t>
      </w:r>
      <w:r>
        <w:rPr>
          <w:rFonts w:ascii="Times New Roman" w:hAnsi="Times New Roman" w:cs="Times New Roman"/>
          <w:lang w:val="en-GB"/>
        </w:rPr>
        <w:t>, ECHR, Application no. 48939/99, 30 November 2004</w:t>
      </w:r>
    </w:p>
    <w:p>
      <w:pPr>
        <w:rPr>
          <w:rFonts w:ascii="Times New Roman" w:hAnsi="Times New Roman" w:cs="Times New Roman"/>
          <w:lang w:val="en-GB"/>
        </w:rPr>
      </w:pPr>
    </w:p>
    <w:p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Optional: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>Manual on Human Rights and the Environment</w:t>
      </w:r>
      <w:r>
        <w:rPr>
          <w:rFonts w:ascii="Times New Roman" w:hAnsi="Times New Roman" w:cs="Times New Roman"/>
          <w:lang w:val="en-GB"/>
        </w:rPr>
        <w:t>, Council of Europe Publishing</w:t>
      </w:r>
    </w:p>
    <w:p>
      <w:pPr>
        <w:rPr>
          <w:rFonts w:ascii="Times New Roman" w:hAnsi="Times New Roman" w:cs="Times New Roman"/>
          <w:b/>
          <w:u w:val="single"/>
          <w:lang w:val="en-GB"/>
        </w:rPr>
      </w:pPr>
    </w:p>
    <w:p>
      <w:pPr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Sexual Minorities and the Law</w:t>
      </w:r>
    </w:p>
    <w:p>
      <w:pPr>
        <w:rPr>
          <w:rFonts w:ascii="Times New Roman" w:hAnsi="Times New Roman" w:cs="Times New Roman"/>
          <w:b/>
          <w:u w:val="single"/>
          <w:lang w:val="en-GB"/>
        </w:rPr>
      </w:pPr>
    </w:p>
    <w:p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Readings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Schalk and Kopf v. Austria</w:t>
      </w:r>
      <w:r>
        <w:rPr>
          <w:rFonts w:ascii="Times New Roman" w:hAnsi="Times New Roman" w:cs="Times New Roman"/>
          <w:lang w:val="en-GB"/>
        </w:rPr>
        <w:t>, ECHR, Application no. 30141/04, 24 June 2010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Vallianatos &amp; Others v. Greece</w:t>
      </w:r>
      <w:r>
        <w:rPr>
          <w:rFonts w:ascii="Times New Roman" w:hAnsi="Times New Roman" w:cs="Times New Roman"/>
          <w:lang w:val="en-GB"/>
        </w:rPr>
        <w:t>, ECHR, Application no. 29381/09, 7 November 2013</w:t>
      </w:r>
    </w:p>
    <w:p>
      <w:pPr>
        <w:pStyle w:val="5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Yogyakarta Principles, </w:t>
      </w:r>
    </w:p>
    <w:p>
      <w:pPr>
        <w:pStyle w:val="5"/>
        <w:rPr>
          <w:rFonts w:ascii="Times New Roman" w:hAnsi="Times New Roman" w:cs="Times New Roman"/>
          <w:lang w:val="en-GB"/>
        </w:rPr>
      </w:pPr>
      <w:r>
        <w:fldChar w:fldCharType="begin"/>
      </w:r>
      <w:r>
        <w:instrText xml:space="preserve"> HYPERLINK "http://www.yogyakartaprinciples.org/wp/wp-content/uploads/2016/08/principles_en.pdf" </w:instrText>
      </w:r>
      <w:r>
        <w:fldChar w:fldCharType="separate"/>
      </w:r>
      <w:r>
        <w:rPr>
          <w:rStyle w:val="3"/>
          <w:rFonts w:ascii="Times New Roman" w:hAnsi="Times New Roman" w:cs="Times New Roman"/>
          <w:lang w:val="en-GB"/>
        </w:rPr>
        <w:t>http://www.yogyakartaprinciples.org/wp/wp-content/uploads/2016/08/principles_en.pdf</w:t>
      </w:r>
      <w:r>
        <w:rPr>
          <w:rStyle w:val="3"/>
          <w:rFonts w:ascii="Times New Roman" w:hAnsi="Times New Roman" w:cs="Times New Roman"/>
          <w:lang w:val="en-GB"/>
        </w:rPr>
        <w:fldChar w:fldCharType="end"/>
      </w:r>
    </w:p>
    <w:p>
      <w:pPr>
        <w:rPr>
          <w:rFonts w:ascii="Times New Roman" w:hAnsi="Times New Roman" w:cs="Times New Roman"/>
          <w:lang w:val="en-GB"/>
        </w:rPr>
      </w:pPr>
    </w:p>
    <w:p>
      <w:pPr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Bioethical Issues</w:t>
      </w:r>
    </w:p>
    <w:p>
      <w:pPr>
        <w:rPr>
          <w:rFonts w:ascii="Times New Roman" w:hAnsi="Times New Roman" w:cs="Times New Roman"/>
          <w:b/>
          <w:u w:val="single"/>
          <w:lang w:val="en-GB"/>
        </w:rPr>
      </w:pPr>
    </w:p>
    <w:p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Readings</w:t>
      </w:r>
    </w:p>
    <w:p>
      <w:pPr>
        <w:pStyle w:val="5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Vo v. France</w:t>
      </w:r>
      <w:r>
        <w:rPr>
          <w:rFonts w:ascii="Times New Roman" w:hAnsi="Times New Roman" w:cs="Times New Roman"/>
          <w:lang w:val="en-GB"/>
        </w:rPr>
        <w:t>,  ECHR, Application no. 53924/00, 8 July 2004</w:t>
      </w:r>
    </w:p>
    <w:p>
      <w:pPr>
        <w:pStyle w:val="5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Pretty v. United Kingdom</w:t>
      </w:r>
      <w:r>
        <w:rPr>
          <w:rFonts w:ascii="Times New Roman" w:hAnsi="Times New Roman" w:cs="Times New Roman"/>
          <w:lang w:val="en-GB"/>
        </w:rPr>
        <w:t>, ECHR, Application no. 2346/02, 29 April 2002</w:t>
      </w:r>
    </w:p>
    <w:p>
      <w:pPr>
        <w:pStyle w:val="5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Bader and Kanbor v. Sweden</w:t>
      </w:r>
      <w:r>
        <w:rPr>
          <w:rFonts w:ascii="Times New Roman" w:hAnsi="Times New Roman" w:cs="Times New Roman"/>
          <w:lang w:val="en-GB"/>
        </w:rPr>
        <w:t>, ECHR, Application no. 13284/04, 8 November 2005</w:t>
      </w:r>
    </w:p>
    <w:p>
      <w:pPr>
        <w:pStyle w:val="5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Nachova and Others v. Bulgaria</w:t>
      </w:r>
      <w:r>
        <w:rPr>
          <w:rFonts w:ascii="Times New Roman" w:hAnsi="Times New Roman" w:cs="Times New Roman"/>
          <w:lang w:val="en-GB"/>
        </w:rPr>
        <w:t>, ECHR, Application nos. 43577/98 &amp;and 43579/98, 6 July 2005</w:t>
      </w:r>
    </w:p>
    <w:p>
      <w:pPr>
        <w:rPr>
          <w:rFonts w:ascii="Times New Roman" w:hAnsi="Times New Roman" w:cs="Times New Roman"/>
          <w:lang w:val="en-GB"/>
        </w:rPr>
      </w:pPr>
    </w:p>
    <w:p>
      <w:pPr>
        <w:rPr>
          <w:rFonts w:ascii="Times New Roman" w:hAnsi="Times New Roman" w:cs="Times New Roman"/>
          <w:b/>
          <w:u w:val="single"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t>Prisoners’ Rights in Europe – Case-law of the European Court of Justice</w:t>
      </w:r>
    </w:p>
    <w:p>
      <w:pPr>
        <w:rPr>
          <w:rFonts w:ascii="Times New Roman" w:hAnsi="Times New Roman" w:cs="Times New Roman"/>
          <w:b/>
          <w:u w:val="single"/>
          <w:lang w:val="en-GB"/>
        </w:rPr>
      </w:pPr>
    </w:p>
    <w:p>
      <w:pPr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Readings</w:t>
      </w:r>
    </w:p>
    <w:p>
      <w:pPr>
        <w:pStyle w:val="5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Kalashnikov v. Russia</w:t>
      </w:r>
      <w:r>
        <w:rPr>
          <w:rFonts w:ascii="Times New Roman" w:hAnsi="Times New Roman" w:cs="Times New Roman"/>
          <w:lang w:val="en-GB"/>
        </w:rPr>
        <w:t>, ECHR, Application no. 47095/99, 15 July 2002</w:t>
      </w:r>
    </w:p>
    <w:p>
      <w:pPr>
        <w:pStyle w:val="5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Vinter and others v. United Kingdom</w:t>
      </w:r>
      <w:r>
        <w:rPr>
          <w:rFonts w:ascii="Times New Roman" w:hAnsi="Times New Roman" w:cs="Times New Roman"/>
          <w:lang w:val="en-GB"/>
        </w:rPr>
        <w:t>, ECHR, Application nos. 66069/09, 130/10 and 3896/10 (Grand Chamber), 9 July 2013</w:t>
      </w:r>
    </w:p>
    <w:p>
      <w:pPr>
        <w:pStyle w:val="5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El-Masri v. The Former Yugoslav Republic of Macedonia</w:t>
      </w:r>
      <w:r>
        <w:rPr>
          <w:rFonts w:ascii="Times New Roman" w:hAnsi="Times New Roman" w:cs="Times New Roman"/>
          <w:lang w:val="en-GB"/>
        </w:rPr>
        <w:t>, ECHR, Application no. 39630/09 (Grand Chamber), 13 December 2012</w:t>
      </w:r>
    </w:p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227"/>
    <w:multiLevelType w:val="multilevel"/>
    <w:tmpl w:val="130C722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A577D94"/>
    <w:multiLevelType w:val="multilevel"/>
    <w:tmpl w:val="2A577D9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19B656A"/>
    <w:multiLevelType w:val="multilevel"/>
    <w:tmpl w:val="519B656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B174BB2"/>
    <w:multiLevelType w:val="multilevel"/>
    <w:tmpl w:val="5B174BB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B6B1341"/>
    <w:multiLevelType w:val="multilevel"/>
    <w:tmpl w:val="7B6B134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7C"/>
    <w:rsid w:val="000A1158"/>
    <w:rsid w:val="001D248C"/>
    <w:rsid w:val="00574AD0"/>
    <w:rsid w:val="009B077C"/>
    <w:rsid w:val="00AD7BC4"/>
    <w:rsid w:val="00D20E3B"/>
    <w:rsid w:val="00E475F1"/>
    <w:rsid w:val="74C055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40" w:lineRule="exact"/>
      <w:jc w:val="both"/>
    </w:pPr>
    <w:rPr>
      <w:rFonts w:ascii="Arial" w:hAnsi="Arial" w:eastAsiaTheme="minorHAnsi" w:cstheme="minorBidi"/>
      <w:sz w:val="22"/>
      <w:szCs w:val="22"/>
      <w:lang w:val="de-DE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Lansky, Ganzger &amp; Partner Rechtsanwälte GmbH</Company>
  <Pages>2</Pages>
  <Words>267</Words>
  <Characters>1683</Characters>
  <Lines>14</Lines>
  <Paragraphs>3</Paragraphs>
  <ScaleCrop>false</ScaleCrop>
  <LinksUpToDate>false</LinksUpToDate>
  <CharactersWithSpaces>1947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2017-03-13T11:36:00Z</dcterms:created>
  <dc:creator>Freund Philipp</dc:creator>
  <cp:lastModifiedBy>Administrator</cp:lastModifiedBy>
  <dcterms:modified xsi:type="dcterms:W3CDTF">2017-03-28T14:43:12Z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